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4F" w:rsidRDefault="00FF5B0A">
      <w:pPr>
        <w:ind w:left="-284" w:right="-2" w:firstLine="5954"/>
        <w:jc w:val="center"/>
        <w:rPr>
          <w:szCs w:val="28"/>
        </w:rPr>
      </w:pPr>
      <w:r>
        <w:rPr>
          <w:szCs w:val="28"/>
        </w:rPr>
        <w:t xml:space="preserve">Приложение к письму </w:t>
      </w:r>
      <w:proofErr w:type="spellStart"/>
      <w:r>
        <w:rPr>
          <w:szCs w:val="28"/>
        </w:rPr>
        <w:t>Ростехнадзора</w:t>
      </w:r>
      <w:proofErr w:type="spellEnd"/>
    </w:p>
    <w:p w:rsidR="00DC424F" w:rsidRDefault="00FF5B0A">
      <w:pPr>
        <w:ind w:left="-284" w:right="-2" w:firstLine="5954"/>
        <w:rPr>
          <w:szCs w:val="28"/>
        </w:rPr>
      </w:pPr>
      <w:r>
        <w:rPr>
          <w:szCs w:val="28"/>
        </w:rPr>
        <w:t xml:space="preserve">  от ___ декабря 2022 г. № _________</w:t>
      </w:r>
    </w:p>
    <w:p w:rsidR="00DC424F" w:rsidRDefault="00DC424F">
      <w:pPr>
        <w:ind w:left="-284" w:right="-2" w:firstLine="851"/>
        <w:jc w:val="center"/>
        <w:rPr>
          <w:b/>
          <w:sz w:val="28"/>
          <w:szCs w:val="28"/>
        </w:rPr>
      </w:pPr>
    </w:p>
    <w:p w:rsidR="00DC424F" w:rsidRDefault="00DC424F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DC424F" w:rsidRDefault="00DC424F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DC424F" w:rsidRDefault="00FF5B0A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DC424F" w:rsidRDefault="00FF5B0A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(Форма)</w:t>
      </w:r>
    </w:p>
    <w:p w:rsidR="00DC424F" w:rsidRDefault="00DC424F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3252"/>
        <w:gridCol w:w="7233"/>
      </w:tblGrid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происшествия: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 г.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4F" w:rsidRDefault="00FF5B0A">
            <w:pPr>
              <w:pStyle w:val="af5"/>
              <w:ind w:left="0"/>
            </w:pPr>
            <w:bookmarkStart w:id="0" w:name="__DdeLink__222_4063683734"/>
            <w:r>
              <w:rPr>
                <w:color w:val="000000"/>
              </w:rPr>
              <w:t>Филиал ПАО «</w:t>
            </w:r>
            <w:proofErr w:type="spellStart"/>
            <w:r>
              <w:rPr>
                <w:color w:val="000000"/>
              </w:rPr>
              <w:t>Россети</w:t>
            </w:r>
            <w:proofErr w:type="spellEnd"/>
            <w:r>
              <w:rPr>
                <w:color w:val="000000"/>
              </w:rPr>
              <w:t>» - Хабаровское ПМЭС</w:t>
            </w:r>
            <w:bookmarkEnd w:id="0"/>
          </w:p>
          <w:p w:rsidR="00DC424F" w:rsidRDefault="00DC424F">
            <w:pPr>
              <w:pStyle w:val="af5"/>
              <w:ind w:left="0"/>
              <w:rPr>
                <w:color w:val="000000"/>
              </w:rPr>
            </w:pP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Ведомственная принадлежность: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энергетики (ПАО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»)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аварии: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Хабаровский край, Солнечный район,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Хальгасо</w:t>
            </w:r>
            <w:proofErr w:type="spellEnd"/>
          </w:p>
          <w:p w:rsidR="00DC424F" w:rsidRDefault="00DC424F">
            <w:pPr>
              <w:jc w:val="both"/>
              <w:rPr>
                <w:rFonts w:eastAsia="Times New Roman" w:cs="Times New Roman"/>
                <w:color w:val="FF0000"/>
                <w:kern w:val="2"/>
              </w:rPr>
            </w:pP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Вид аварии: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ConsPlusNonformat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повреждения ТН-ОСШ-220 возникло однофазное короткое замыкание на землю фазы А с последующим переходом в междуфазное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далее в АВС (короткое замыкание в зоне ДЗШТ 1С 220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раткое описание аварии:</w:t>
            </w:r>
          </w:p>
          <w:p w:rsidR="00DC424F" w:rsidRDefault="00DC424F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jc w:val="both"/>
            </w:pPr>
            <w:r>
              <w:rPr>
                <w:color w:val="000000"/>
              </w:rPr>
              <w:t xml:space="preserve">18.03.2019 в 21-47 в результате аварии, на ПС 220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Старт с повреждением ТН-ОСШ-220, произошли аварийные отключения в ремонтной схеме сети 110-220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Хабаровской энергосисте</w:t>
            </w:r>
            <w:r>
              <w:rPr>
                <w:color w:val="000000"/>
              </w:rPr>
              <w:t>мы, при этом:</w:t>
            </w:r>
          </w:p>
          <w:p w:rsidR="00DC424F" w:rsidRDefault="00FF5B0A">
            <w:pPr>
              <w:jc w:val="both"/>
            </w:pPr>
            <w:r>
              <w:rPr>
                <w:color w:val="000000"/>
              </w:rPr>
              <w:t xml:space="preserve">-Амурская ТЭЦ-1 выделилась от ОЭС Востока на сбалансированную нагрузку прилегающего </w:t>
            </w:r>
            <w:proofErr w:type="spellStart"/>
            <w:r>
              <w:rPr>
                <w:color w:val="000000"/>
              </w:rPr>
              <w:t>энергорайона</w:t>
            </w:r>
            <w:proofErr w:type="spellEnd"/>
            <w:r>
              <w:rPr>
                <w:color w:val="000000"/>
              </w:rPr>
              <w:t>;</w:t>
            </w:r>
          </w:p>
          <w:p w:rsidR="00DC424F" w:rsidRDefault="00FF5B0A">
            <w:pPr>
              <w:jc w:val="both"/>
            </w:pPr>
            <w:r>
              <w:rPr>
                <w:color w:val="000000"/>
              </w:rPr>
              <w:t xml:space="preserve">-Майская ГРЭС выделилась от ОЭС Востока на сбалансированную нагрузку прилегающего </w:t>
            </w:r>
            <w:proofErr w:type="spellStart"/>
            <w:r>
              <w:rPr>
                <w:color w:val="000000"/>
              </w:rPr>
              <w:t>энергорайона</w:t>
            </w:r>
            <w:proofErr w:type="spellEnd"/>
            <w:r>
              <w:rPr>
                <w:color w:val="000000"/>
              </w:rPr>
              <w:t>;</w:t>
            </w:r>
          </w:p>
          <w:p w:rsidR="00DC424F" w:rsidRDefault="00FF5B0A">
            <w:pPr>
              <w:jc w:val="both"/>
            </w:pPr>
            <w:r>
              <w:rPr>
                <w:rFonts w:eastAsia="Times New Roman" w:cs="Times New Roman"/>
                <w:color w:val="000000"/>
              </w:rPr>
              <w:t>-</w:t>
            </w:r>
            <w:proofErr w:type="gramStart"/>
            <w:r>
              <w:rPr>
                <w:rFonts w:eastAsia="Times New Roman" w:cs="Times New Roman"/>
                <w:color w:val="000000"/>
              </w:rPr>
              <w:t>Комсомольский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энергорайон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со станциями </w:t>
            </w:r>
            <w:r>
              <w:rPr>
                <w:rFonts w:eastAsia="Times New Roman" w:cs="Times New Roman"/>
                <w:color w:val="000000"/>
              </w:rPr>
              <w:t>Комсомольская ТЭЦ-1, Комсомольская ТЭЦ-2, Комсомольская ТЭЦ-3 выделился от ОЭС Востока на сбалансированную нагрузку.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Последствия аварии:</w:t>
            </w: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Повреждение  ТН-ОСШ-220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 Технические причины аварии:</w:t>
            </w: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 Нарушение электрической изоляции</w:t>
            </w:r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 ПС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Старт 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результате интенсивного образования частичных разрядов из-за старения изоляции по поверхности обмотки нижнего каскада ТН-ОСШ-220 (НКФ-220-58-У1) произошло электродуговое перекрытие высоковольтной обмотки нижнего каскада на заземленный экран, с последующим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перекрытием нижнего каскада и термическим разрушением фарфоровой покрышки.</w:t>
            </w:r>
          </w:p>
          <w:p w:rsidR="00DC424F" w:rsidRDefault="00FF5B0A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ПС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причиной излишней работы ДЗТ 3АТ явилось появление небаланса в токовых цепях 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пусковых органов УРОВ от ДЗТ) в условия внешнего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сети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причине дефекта обмотки 5S1-5S2 трансформатора тока ТТ-220-3АТ ф. «С» (из-за замыкания выводов обмотки на корпус (землю)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внутренней части трансформатора тока).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1.2 </w:t>
            </w:r>
            <w:r>
              <w:rPr>
                <w:rFonts w:ascii="Times New Roman" w:eastAsia="Times New Roman" w:hAnsi="Times New Roman" w:cs="Times New Roman"/>
              </w:rPr>
              <w:t>Понижение уровня в барабане КА.</w:t>
            </w:r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 росте частоты электрического тока (более 51 Гц) дей</w:t>
            </w:r>
            <w:r>
              <w:rPr>
                <w:rFonts w:ascii="Times New Roman" w:eastAsia="Times New Roman" w:hAnsi="Times New Roman" w:cs="Times New Roman"/>
              </w:rPr>
              <w:t xml:space="preserve">ствием САР резко снизилась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нагрузки энергоблока ст. №2 Комсомольской ТЭЦ-3 со 175 МВт до 66 МВт. Сброс электрической нагрузки привел к резкому повышению давления за котлом до 151кгс/см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и как к следствию к открытию ГПК-3,4 и срабатыванию ПСР</w:t>
            </w:r>
            <w:r>
              <w:rPr>
                <w:rFonts w:ascii="Times New Roman" w:eastAsia="Times New Roman" w:hAnsi="Times New Roman" w:cs="Times New Roman"/>
              </w:rPr>
              <w:t xml:space="preserve">ОУ. Потери пара через ГПК-3,4 превысили предельный объем аварийной и рабочей подпитки.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Потеря пара через ГПК-3,4 составляла порядка 300 т/ч, при максимальном объеме подпитки 200 т/ч. Несбалансированная нагрузка выделившегося района с частотой в сети более </w:t>
            </w:r>
            <w:r>
              <w:rPr>
                <w:rFonts w:ascii="Times New Roman" w:eastAsia="Times New Roman" w:hAnsi="Times New Roman" w:cs="Times New Roman"/>
              </w:rPr>
              <w:t>50,8 Гц  не позволила обеспечить стабильную работу оборудования энергоблока на техническом минимуме, что привело к дестабилизации уровня воды в барабане и срабатыванию технологической защиты по понижению уровня.</w:t>
            </w:r>
            <w:proofErr w:type="gramEnd"/>
          </w:p>
          <w:p w:rsidR="00DC424F" w:rsidRPr="00FF5B0A" w:rsidRDefault="00FF5B0A">
            <w:pPr>
              <w:pStyle w:val="Standard"/>
              <w:jc w:val="both"/>
            </w:pPr>
            <w:r w:rsidRPr="00FF5B0A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 Исчерпание ресурса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Технической причиной излишней работы 1 ступени ДЗ на ПС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Тишкино стало залипание контакта в реле МЭР, что привело к подаче плюса на РС ДЗ и излишней работе ДЗ-1 ст. при КЗ. Длительная эксплуатация (35 лет) стала причиной износа элементов реле. Определ</w:t>
            </w:r>
            <w:r>
              <w:rPr>
                <w:rFonts w:ascii="Times New Roman" w:eastAsia="Times New Roman" w:hAnsi="Times New Roman" w:cs="Times New Roman"/>
              </w:rPr>
              <w:t xml:space="preserve">ить состояние контактной группы и провести, при необходимости, внеплановое ТО, не представляется возможным по причине особенности конструкции реле: корпус не разборный, выполнен из не прозрачного материала. 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Организационные причины аварии:</w:t>
            </w: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 Недост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атки проекта</w:t>
            </w:r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 ПС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Старт проектной схемой предусмотрено использование в ДЗШТ-220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трансформаторов тока РП-220 вместо встроенных трансформаторов тока в ОСЭВ-220,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связи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 чем ОСЭВ-220 не входит в зону ДЗШТ-220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2С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короткое замыкание меж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ду трансформаторами тока РП-220 и ОСЭВ-220 локализуется дальним резервированием защит ЛЭП 110-220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прилегающей сети.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2.2. </w:t>
            </w:r>
            <w:r>
              <w:rPr>
                <w:rFonts w:ascii="Times New Roman" w:eastAsia="Times New Roman" w:hAnsi="Times New Roman" w:cs="Times New Roman"/>
              </w:rPr>
              <w:t>Дефект проекта, недостатки конструкции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при понижении уровня в барабане КА</w:t>
            </w:r>
          </w:p>
          <w:p w:rsidR="00DC424F" w:rsidRDefault="00FF5B0A">
            <w:pPr>
              <w:pStyle w:val="ConsPlusNonformat"/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Невыявленные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причины: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2.3. Реле МЭР на ПС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Тишкино вв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едено в эксплуатацию в 1984 году. Плановое ТО устройств РЗА ПС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Тишкино проведено в 2016 году - все электрические характеристики в норм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приложение к акту: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Протокол планового ТО 2016 г. в объёме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профконтроля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Плановое обслуживание реле МЭР проводится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1 раз в 4 года. Следующее плановое обслуживание устройств РЗА ПС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Тишкино запланировано на 2020 год. Реле МЭР снято с производства в 1998 году и замена 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плановом ТО не возможна.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Начало строительство новой ПС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Тишкино с установкой новых МП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устройств РЗА запланировано на 2019 год.</w:t>
            </w:r>
            <w:proofErr w:type="gramEnd"/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Технические мероприятия:</w:t>
            </w: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3.1.Разработать и согласовать с Исполнительным аппаратом ПАО «ФСК ЕЭС» график замены ТН со сроком эксплуатации более 25 лет. (Филиал ПАО "ФСК ЕЭС" - Хабаровское ПМЭС)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 На ПС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Старт выполнить изменения распределения защит ДЗШТ-220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УРОВ-220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ОСЭВ-220 (в соответствии со схемой, согласно п. 3.2.1 Акта).(Филиал ПАО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"ФСК ЕЭС" - Хабаровское ПМЭС)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3.3. Направить запрос производителю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3АТ ПС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Комсомольская для полу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чения информации о причине появления и возможности устранения дефекта обмотки 5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1-5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 (Филиал ПАО "ФСК ЕЭС" - Хабаровское ПМЭС)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3.4. Заменить неисправное реле МЭР блока направления мощности комплекта защит ПЗ-4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35 Майская ГРЭС - Тишкино с отпайкой на ПС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Капитуль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на ПС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Тишкино. (Филиал АО «ДРСК» - Хабаровские 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3.5 Определить разработать мероприятия для обеспечения стабильной работы оборудования ЭБ КТЭЦ-3 на техническом минимуме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Филиал АО «ДГК» Хабаровская генерация)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  ПС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произве</w:t>
            </w:r>
            <w:r>
              <w:rPr>
                <w:rFonts w:ascii="Times New Roman" w:eastAsia="Times New Roman" w:hAnsi="Times New Roman" w:cs="Times New Roman"/>
              </w:rPr>
              <w:t>сти ремонт МП терминала устройства АЧР (Сириус-АЧР) и ввести в работу. (Филиал АО «ДРСК» - Хабаровские 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3.7 ПС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провести регулировку КСА всех присоединений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(Филиал АО «ДРСК» - Хабаровские 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ровести послеаварийную </w:t>
            </w:r>
            <w:r>
              <w:rPr>
                <w:rFonts w:ascii="Times New Roman" w:eastAsia="Times New Roman" w:hAnsi="Times New Roman" w:cs="Times New Roman"/>
              </w:rPr>
              <w:t xml:space="preserve">проверку АЧР на Комсомольской ТЭЦ-2 (АЧР-2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совм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- 4,2 МВт; АЧР-2 н/с – 2,6 МВт) (Филиал АО «ДГК» Хабаровская генерация)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Организационные мероприятия:</w:t>
            </w: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4.1. По ПС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Старт разработать и внести изменения в проектную схему распределения защит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ОС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ЭВ-220кВ, предусматривающую включения ОСШ-220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зону действия 2СШ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ДЗШТ-220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Изменение проектной схемы согласовать с Филиалом АО «СО ЕЭС» Хабаровское РДУ.; (</w:t>
            </w:r>
            <w:r>
              <w:rPr>
                <w:rFonts w:ascii="Times New Roman" w:eastAsia="Times New Roman" w:hAnsi="Times New Roman" w:cs="Courier New"/>
              </w:rPr>
              <w:t>Филиал ПАО «ФСК ЕЭС» - Хабаровское ПМЭС)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4.2. Направить на завод изготовитель НКФ-220-5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8У1 запрос о возможности изменения конструкции НКФ в части переноса концевого вывода (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 первичной обмотки (ВН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з бака трансформатора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клеммную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коробку. (</w:t>
            </w:r>
            <w:r>
              <w:rPr>
                <w:rFonts w:ascii="Times New Roman" w:eastAsia="Times New Roman" w:hAnsi="Times New Roman" w:cs="Courier New"/>
              </w:rPr>
              <w:t>Филиал ПАО «ФСК ЕЭС» - Хабаровское ПМЭС)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 Направить запрос производителю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3АТ ПС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Комсомо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льская для получения информации о причине появления, возможности устранения дефекта обмотки 5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1-5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2.; (</w:t>
            </w:r>
            <w:r>
              <w:rPr>
                <w:rFonts w:ascii="Times New Roman" w:eastAsia="Times New Roman" w:hAnsi="Times New Roman" w:cs="Courier New"/>
              </w:rPr>
              <w:t>Филиал ПАО «ФСК ЕЭС» - Хабаровское ПМЭС)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4.4. ПС35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Тишкино - на комплектах защит ПЗ-4 (Т-6Ф, Т8Ф, Т9Ф) произвести проверку работоспособности реле МЭР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блока реле направления мощности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Courier New"/>
              </w:rPr>
              <w:t>и</w:t>
            </w:r>
            <w:proofErr w:type="gramEnd"/>
            <w:r>
              <w:rPr>
                <w:rFonts w:ascii="Times New Roman" w:eastAsia="Times New Roman" w:hAnsi="Times New Roman" w:cs="Courier New"/>
              </w:rPr>
              <w:t>лиал</w:t>
            </w:r>
            <w:proofErr w:type="spellEnd"/>
            <w:r>
              <w:rPr>
                <w:rFonts w:ascii="Times New Roman" w:eastAsia="Times New Roman" w:hAnsi="Times New Roman" w:cs="Courier New"/>
              </w:rPr>
              <w:t xml:space="preserve"> АО «ДРСК» - Хабаровские ЭС)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4.5. Провести на Амурской ТЭЦ-1 противоаварийную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общестанционную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тренировку на тему «Выделение электростанции на изолированную работу»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;(</w:t>
            </w:r>
            <w:proofErr w:type="gramEnd"/>
            <w:r>
              <w:rPr>
                <w:rFonts w:ascii="Times New Roman" w:eastAsia="Times New Roman" w:hAnsi="Times New Roman" w:cs="Courier New"/>
                <w:color w:val="auto"/>
              </w:rPr>
              <w:t>Филиал АО «ДГК» Хабаровская генерация)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4.6. Провести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оперативному персоналу Майской ГРЭС внеплановую  специальную  подготовку по теме «Действия оперативного персонала при отключении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».; (</w:t>
            </w:r>
            <w:r>
              <w:rPr>
                <w:rFonts w:ascii="Times New Roman" w:eastAsia="Times New Roman" w:hAnsi="Times New Roman" w:cs="Courier New"/>
                <w:color w:val="auto"/>
              </w:rPr>
              <w:t>Филиал АО «ДГК» Хабаровская генерация)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4.7. В противоаварийную тренировку (ПАТ) оперативного персонала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Комсомольской ТЭЦ-2 в апреле-мае 2019 года включить дополнительные вводные «Действия персонала при повышении частоты в энергосистеме» (</w:t>
            </w:r>
            <w:r>
              <w:rPr>
                <w:rFonts w:ascii="Times New Roman" w:eastAsia="Times New Roman" w:hAnsi="Times New Roman" w:cs="Courier New"/>
                <w:color w:val="auto"/>
              </w:rPr>
              <w:t>Филиал АО «ДГК» Хабаровская генерация)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4.8. В рамках специальной подготовки оперативного персонала Комсомольской ТЭЦ-3 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апреле 2019 года проработать тему «Порядок действия при сбросе нагрузки энергоблока до технического минимума с ростом частоты в системе» (</w:t>
            </w:r>
            <w:r>
              <w:rPr>
                <w:rFonts w:ascii="Times New Roman" w:eastAsia="Times New Roman" w:hAnsi="Times New Roman" w:cs="Courier New"/>
                <w:color w:val="auto"/>
              </w:rPr>
              <w:t>Филиал АО «ДГК» Хабаровская генерация)</w:t>
            </w:r>
          </w:p>
          <w:p w:rsidR="00DC424F" w:rsidRDefault="00FF5B0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4.9. Внести дополнения в «Инструкцию по предотвращению развития и ликвидации 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рушений нормального режима электрической части Комсомольской ТЭЦ-3», в пункт 5.1.3.2.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 повышении частоты выше 50,4 Гц НСС принимает меры к понижению частоты (по согласованию с диспетчером Хабаровского РДУ) путем максимально возможной разгрузки энергоблока, вплоть до технического минимума (при этом удерживаются допустимые параметры и усто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йчивый режим работы котлов) или отключения генерирующего оборудования по согласованию с диспетчером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Хабаровкого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РДУ.  </w:t>
            </w:r>
          </w:p>
          <w:p w:rsidR="00DC424F" w:rsidRDefault="00FF5B0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 резком повышении частоты 51 Гц и выше с возникновением качаний и несрабатывании АРЧ персоналу КТЦ отключить турбогенераторы от сети 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обеспечением возможности повторной синхронизации. Согласовать дополнения «Инструкцию по предотвращению развития и ликвидации нарушений нормального режима электрической части Комсомольской ТЭЦ-3» ИЭ-104-24-62-2019 с Хабаровским РДУ (</w:t>
            </w:r>
            <w:r>
              <w:rPr>
                <w:rFonts w:ascii="Times New Roman" w:eastAsia="Times New Roman" w:hAnsi="Times New Roman" w:cs="Courier New"/>
                <w:color w:val="auto"/>
              </w:rPr>
              <w:t>Филиал АО «ДГК» Хабаров</w:t>
            </w:r>
            <w:r>
              <w:rPr>
                <w:rFonts w:ascii="Times New Roman" w:eastAsia="Times New Roman" w:hAnsi="Times New Roman" w:cs="Courier New"/>
                <w:color w:val="auto"/>
              </w:rPr>
              <w:t>ская генерация).</w:t>
            </w:r>
          </w:p>
        </w:tc>
      </w:tr>
      <w:tr w:rsidR="00DC424F">
        <w:trPr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Извлеченные урок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t>и: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5.1. Усилить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техническим состоянием электрооборудования, в том числе за состоянием систем релейной защиты и автоматики на подстанциях;</w:t>
            </w:r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>5.2. Изменения проектных схем распределения защит электрооборудования</w:t>
            </w:r>
            <w:r>
              <w:rPr>
                <w:rFonts w:ascii="Times New Roman" w:eastAsia="Times New Roman" w:hAnsi="Times New Roman" w:cs="Times New Roman"/>
              </w:rPr>
              <w:t>, в обязательном порядке согласовывать с причастными организациями;</w:t>
            </w:r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5.3. Усилить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проведением текущих ремонтов систем релейной защиты и автоматики;</w:t>
            </w:r>
          </w:p>
          <w:p w:rsidR="00DC424F" w:rsidRDefault="00FF5B0A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</w:rPr>
              <w:t>5.4. Увеличить частоту проведения противоаварийных тренировок оперативному персоналу подстанций.</w:t>
            </w:r>
          </w:p>
          <w:p w:rsidR="00DC424F" w:rsidRDefault="00DC424F">
            <w:pPr>
              <w:spacing w:line="336" w:lineRule="auto"/>
              <w:ind w:firstLine="709"/>
              <w:jc w:val="both"/>
              <w:rPr>
                <w:rFonts w:eastAsia="Times New Roman" w:cs="Times New Roman"/>
              </w:rPr>
            </w:pPr>
          </w:p>
        </w:tc>
      </w:tr>
      <w:tr w:rsidR="00DC424F" w:rsidTr="00FF5B0A">
        <w:trPr>
          <w:trHeight w:val="120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>
            <w:pPr>
              <w:pStyle w:val="ac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6. Фото места происшествия.</w:t>
            </w: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C424F" w:rsidRDefault="00DC424F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F" w:rsidRDefault="00FF5B0A" w:rsidP="00FF5B0A">
            <w:pPr>
              <w:pStyle w:val="ac"/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</w:t>
            </w:r>
          </w:p>
        </w:tc>
      </w:tr>
    </w:tbl>
    <w:p w:rsidR="00DC424F" w:rsidRDefault="00DC424F">
      <w:pPr>
        <w:pStyle w:val="Standard"/>
        <w:jc w:val="center"/>
      </w:pPr>
    </w:p>
    <w:sectPr w:rsidR="00DC424F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B0A">
      <w:pPr>
        <w:spacing w:before="0" w:after="0"/>
      </w:pPr>
      <w:r>
        <w:separator/>
      </w:r>
    </w:p>
  </w:endnote>
  <w:endnote w:type="continuationSeparator" w:id="0">
    <w:p w:rsidR="00000000" w:rsidRDefault="00FF5B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Arial"/>
    <w:charset w:val="CC"/>
    <w:family w:val="swiss"/>
    <w:pitch w:val="variable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4F" w:rsidRDefault="00FF5B0A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B0A">
      <w:pPr>
        <w:spacing w:before="0" w:after="0"/>
      </w:pPr>
      <w:r>
        <w:separator/>
      </w:r>
    </w:p>
  </w:footnote>
  <w:footnote w:type="continuationSeparator" w:id="0">
    <w:p w:rsidR="00000000" w:rsidRDefault="00FF5B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4F" w:rsidRDefault="00DC42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4F"/>
    <w:rsid w:val="00DC424F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1">
    <w:name w:val="heading 1"/>
    <w:basedOn w:val="Standard"/>
    <w:next w:val="Standard"/>
    <w:qFormat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qFormat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qFormat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qFormat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7">
    <w:name w:val="Заголовок"/>
    <w:basedOn w:val="Standard"/>
    <w:next w:val="Textbody"/>
    <w:qFormat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styleId="a8">
    <w:name w:val="Body Text"/>
    <w:basedOn w:val="a"/>
    <w:pPr>
      <w:spacing w:before="0" w:after="140" w:line="276" w:lineRule="auto"/>
    </w:pPr>
  </w:style>
  <w:style w:type="paragraph" w:styleId="a9">
    <w:name w:val="List"/>
    <w:basedOn w:val="Textbody"/>
  </w:style>
  <w:style w:type="paragraph" w:styleId="a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10">
    <w:name w:val="Указатель1"/>
    <w:basedOn w:val="Standard"/>
    <w:qFormat/>
  </w:style>
  <w:style w:type="paragraph" w:customStyle="1" w:styleId="Contents2">
    <w:name w:val="Contents 2"/>
    <w:basedOn w:val="Standard"/>
    <w:next w:val="Standard"/>
    <w:qFormat/>
    <w:pPr>
      <w:ind w:left="200"/>
    </w:pPr>
  </w:style>
  <w:style w:type="paragraph" w:customStyle="1" w:styleId="Contents4">
    <w:name w:val="Contents 4"/>
    <w:basedOn w:val="Standard"/>
    <w:next w:val="Standard"/>
    <w:qFormat/>
    <w:pPr>
      <w:ind w:left="600"/>
    </w:pPr>
  </w:style>
  <w:style w:type="paragraph" w:customStyle="1" w:styleId="ab">
    <w:name w:val="Текст выноски Знак"/>
    <w:basedOn w:val="11"/>
    <w:qFormat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qFormat/>
    <w:pPr>
      <w:ind w:left="1000"/>
    </w:pPr>
  </w:style>
  <w:style w:type="paragraph" w:customStyle="1" w:styleId="Contents7">
    <w:name w:val="Contents 7"/>
    <w:basedOn w:val="Standard"/>
    <w:next w:val="Standard"/>
    <w:qFormat/>
    <w:pPr>
      <w:ind w:left="1200"/>
    </w:p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color w:val="000000"/>
      <w:kern w:val="2"/>
      <w:sz w:val="24"/>
      <w:szCs w:val="24"/>
    </w:rPr>
  </w:style>
  <w:style w:type="paragraph" w:customStyle="1" w:styleId="ac">
    <w:name w:val="Содержимое таблицы"/>
    <w:basedOn w:val="Standard"/>
    <w:qFormat/>
    <w:pPr>
      <w:widowControl w:val="0"/>
    </w:pPr>
  </w:style>
  <w:style w:type="paragraph" w:styleId="ad">
    <w:name w:val="Balloon Text"/>
    <w:basedOn w:val="a"/>
    <w:uiPriority w:val="99"/>
    <w:qFormat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qFormat/>
    <w:pPr>
      <w:ind w:left="400"/>
    </w:pPr>
  </w:style>
  <w:style w:type="paragraph" w:customStyle="1" w:styleId="11">
    <w:name w:val="Основной шрифт абзаца1"/>
    <w:qFormat/>
    <w:pPr>
      <w:suppressAutoHyphens/>
      <w:overflowPunct w:val="0"/>
      <w:textAlignment w:val="baseline"/>
    </w:pPr>
    <w:rPr>
      <w:color w:val="000000"/>
      <w:kern w:val="2"/>
      <w:sz w:val="24"/>
      <w:szCs w:val="24"/>
    </w:rPr>
  </w:style>
  <w:style w:type="paragraph" w:customStyle="1" w:styleId="Internetlink">
    <w:name w:val="Internet link"/>
    <w:qFormat/>
    <w:pPr>
      <w:suppressAutoHyphens/>
      <w:overflowPunct w:val="0"/>
      <w:textAlignment w:val="baseline"/>
    </w:pPr>
    <w:rPr>
      <w:color w:val="0000FF"/>
      <w:kern w:val="2"/>
      <w:sz w:val="24"/>
      <w:szCs w:val="24"/>
      <w:u w:val="single"/>
    </w:rPr>
  </w:style>
  <w:style w:type="paragraph" w:customStyle="1" w:styleId="Footnote">
    <w:name w:val="Footnote"/>
    <w:qFormat/>
    <w:pPr>
      <w:suppressAutoHyphens/>
      <w:overflowPunct w:val="0"/>
      <w:textAlignment w:val="baseline"/>
    </w:pPr>
    <w:rPr>
      <w:rFonts w:ascii="XO Thames" w:eastAsia="XO Thames" w:hAnsi="XO Thames" w:cs="XO Thames"/>
      <w:color w:val="000000"/>
      <w:kern w:val="2"/>
      <w:sz w:val="22"/>
      <w:szCs w:val="22"/>
    </w:rPr>
  </w:style>
  <w:style w:type="paragraph" w:customStyle="1" w:styleId="Contents1">
    <w:name w:val="Contents 1"/>
    <w:basedOn w:val="Standard"/>
    <w:next w:val="Standard"/>
    <w:qFormat/>
    <w:rPr>
      <w:rFonts w:ascii="XO Thames" w:eastAsia="XO Thames" w:hAnsi="XO Thames" w:cs="XO Thames"/>
      <w:b/>
      <w:bCs/>
    </w:rPr>
  </w:style>
  <w:style w:type="paragraph" w:customStyle="1" w:styleId="ae">
    <w:name w:val="Верхний и нижний колонтитулы"/>
    <w:qFormat/>
    <w:pPr>
      <w:suppressAutoHyphens/>
      <w:overflowPunct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2"/>
      <w:sz w:val="24"/>
    </w:rPr>
  </w:style>
  <w:style w:type="paragraph" w:customStyle="1" w:styleId="Contents9">
    <w:name w:val="Contents 9"/>
    <w:basedOn w:val="Standard"/>
    <w:next w:val="Standard"/>
    <w:qFormat/>
    <w:pPr>
      <w:ind w:left="1600"/>
    </w:pPr>
  </w:style>
  <w:style w:type="paragraph" w:customStyle="1" w:styleId="Contents8">
    <w:name w:val="Contents 8"/>
    <w:basedOn w:val="Standard"/>
    <w:next w:val="Standard"/>
    <w:qFormat/>
    <w:pPr>
      <w:ind w:left="1400"/>
    </w:pPr>
  </w:style>
  <w:style w:type="paragraph" w:customStyle="1" w:styleId="Contents5">
    <w:name w:val="Contents 5"/>
    <w:basedOn w:val="Standard"/>
    <w:next w:val="Standard"/>
    <w:qFormat/>
    <w:pPr>
      <w:ind w:left="800"/>
    </w:pPr>
  </w:style>
  <w:style w:type="paragraph" w:styleId="af">
    <w:name w:val="Revision"/>
    <w:qFormat/>
    <w:pPr>
      <w:suppressAutoHyphens/>
      <w:overflowPunct w:val="0"/>
      <w:textAlignment w:val="baseline"/>
    </w:pPr>
    <w:rPr>
      <w:color w:val="000000"/>
      <w:kern w:val="2"/>
      <w:sz w:val="24"/>
      <w:szCs w:val="24"/>
    </w:rPr>
  </w:style>
  <w:style w:type="paragraph" w:styleId="af0">
    <w:name w:val="Subtitle"/>
    <w:basedOn w:val="Standard"/>
    <w:next w:val="Standard"/>
    <w:qFormat/>
    <w:rPr>
      <w:rFonts w:ascii="XO Thames" w:eastAsia="XO Thames" w:hAnsi="XO Thames" w:cs="XO Thames"/>
      <w:i/>
      <w:iCs/>
      <w:color w:val="616161"/>
    </w:rPr>
  </w:style>
  <w:style w:type="paragraph" w:customStyle="1" w:styleId="100">
    <w:name w:val="Оглавление 10"/>
    <w:basedOn w:val="Standard"/>
    <w:next w:val="Standard"/>
    <w:qFormat/>
    <w:pPr>
      <w:ind w:left="1800"/>
    </w:pPr>
  </w:style>
  <w:style w:type="paragraph" w:styleId="af1">
    <w:name w:val="Title"/>
    <w:basedOn w:val="Standard"/>
    <w:next w:val="Standard"/>
    <w:qFormat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5">
    <w:name w:val="List Paragraph"/>
    <w:basedOn w:val="a"/>
    <w:qFormat/>
    <w:pPr>
      <w:ind w:left="708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1348</Words>
  <Characters>7684</Characters>
  <Application>Microsoft Office Word</Application>
  <DocSecurity>0</DocSecurity>
  <Lines>64</Lines>
  <Paragraphs>18</Paragraphs>
  <ScaleCrop>false</ScaleCrop>
  <Company>RTN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dc:description/>
  <cp:lastModifiedBy>Екатерина В. Чернявская</cp:lastModifiedBy>
  <cp:revision>17</cp:revision>
  <cp:lastPrinted>2022-12-26T12:32:00Z</cp:lastPrinted>
  <dcterms:created xsi:type="dcterms:W3CDTF">2022-12-29T02:03:00Z</dcterms:created>
  <dcterms:modified xsi:type="dcterms:W3CDTF">2023-01-31T06:44:00Z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RTN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